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hanging="2"/>
        <w:jc w:val="center"/>
        <w:rPr/>
      </w:pPr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hanging="2"/>
        <w:jc w:val="center"/>
        <w:rPr>
          <w:b w:val="1"/>
          <w:bCs w:val="1"/>
          <w:smallCaps w:val="1"/>
        </w:rPr>
      </w:pPr>
      <w:r w:rsidDel="00000000" w:rsidR="00000000" w:rsidRPr="00000000">
        <w:rPr>
          <w:b w:val="1"/>
          <w:bCs w:val="1"/>
          <w:rtl w:val="0"/>
        </w:rPr>
        <w:t xml:space="preserve">TABELA DE PONTUAÇÃO PARA A SELEÇÃO DE ESTUDANTES AO PET-SAÚDE/CLIMA 2026-2028</w:t>
      </w:r>
      <w:r w:rsidDel="00000000" w:rsidR="00000000" w:rsidRPr="00000000">
        <w:rPr>
          <w:rtl w:val="0"/>
        </w:rPr>
      </w:r>
    </w:p>
    <w:tbl>
      <w:tblPr>
        <w:tblStyle w:val="Table1"/>
        <w:tblW w:w="971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7"/>
        <w:gridCol w:w="2051"/>
        <w:gridCol w:w="1683"/>
        <w:gridCol w:w="1568"/>
        <w:gridCol w:w="1532"/>
        <w:tblGridChange w:id="0">
          <w:tblGrid>
            <w:gridCol w:w="2877"/>
            <w:gridCol w:w="2051"/>
            <w:gridCol w:w="1683"/>
            <w:gridCol w:w="1568"/>
            <w:gridCol w:w="15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Item/atividade no itinerário formativo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Máximo de pontos por item/atividade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alcançada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(relatada pelo candidato)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alcançada (conferida pela comissão)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Participação em PETs anteriores (qualquer um dos Editais/anos)</w:t>
            </w:r>
          </w:p>
          <w:p w:rsidR="00000000" w:rsidDel="00000000" w:rsidP="00000000" w:rsidRDefault="00000000" w:rsidRPr="00000000" w14:paraId="0000000C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ponto por ano completo (e/ou proporcional, quando período menor)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2 pontos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Participação em  projetos de pesquisa</w:t>
            </w:r>
          </w:p>
          <w:p w:rsidR="00000000" w:rsidDel="00000000" w:rsidP="00000000" w:rsidRDefault="00000000" w:rsidRPr="00000000" w14:paraId="00000012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 ponto por ano completo (e/ou proporcional, quando período menor)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1 ponto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Participação em  projetos de extensão e/ou cultura</w:t>
            </w:r>
          </w:p>
          <w:p w:rsidR="00000000" w:rsidDel="00000000" w:rsidP="00000000" w:rsidRDefault="00000000" w:rsidRPr="00000000" w14:paraId="00000018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 ponto por ano completo (e/ou proporcional, quando período menor)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1 ponto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Autor/a ou coautor/a em capítulo de livro 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 ponto por capítulo</w:t>
            </w:r>
          </w:p>
        </w:tc>
        <w:tc>
          <w:tcPr/>
          <w:p w:rsidR="00000000" w:rsidDel="00000000" w:rsidP="00000000" w:rsidRDefault="00000000" w:rsidRPr="00000000" w14:paraId="0000001F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1 ponto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Resumo (simples ou expandido) apresentado em eventos técnico-científicos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0,2 ponto por resumo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1 ponto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Artigos publicados </w:t>
            </w:r>
          </w:p>
          <w:p w:rsidR="00000000" w:rsidDel="00000000" w:rsidP="00000000" w:rsidRDefault="00000000" w:rsidRPr="00000000" w14:paraId="00000028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ponto por artigo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2 pontos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Participação em outras políticas indutoras de reorientação da formação em saúde (Ex: Ver-SUS, Rondon) e/ou movimentos estudantis (Ex: D.C.E., C.A., Ligas acadêmicas) 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0,5 ponto por ano completo (e/ou proporcional, quando período menor)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máximo de 2 ponto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ind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NOTA FINAL DA TABELA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hanging="2"/>
        <w:jc w:val="both"/>
        <w:rPr>
          <w:b w:val="1"/>
          <w:bCs w:val="1"/>
        </w:rPr>
      </w:pPr>
      <w:r w:rsidDel="00000000" w:rsidR="00000000" w:rsidRPr="00000000">
        <w:rPr>
          <w:sz w:val="16"/>
          <w:szCs w:val="16"/>
          <w:rtl w:val="0"/>
        </w:rPr>
        <w:t xml:space="preserve">Atenção: “IV. Documentação comprobatória (cópia simples) de todos os itens da Tabela de pontuação para a seleção de estudantes ao PET-Saúde/Clima 2026-2028, anexados obrigatoriamente em um único arquivo sem limite de laudas, como também </w:t>
      </w:r>
      <w:r w:rsidDel="00000000" w:rsidR="00000000" w:rsidRPr="00000000">
        <w:rPr>
          <w:b w:val="1"/>
          <w:bCs w:val="1"/>
          <w:sz w:val="16"/>
          <w:szCs w:val="16"/>
          <w:u w:val="single"/>
          <w:rtl w:val="0"/>
        </w:rPr>
        <w:t xml:space="preserve">OBRIGATORIAMENTE e EXATAMENTE</w:t>
      </w:r>
      <w:r w:rsidDel="00000000" w:rsidR="00000000" w:rsidRPr="00000000">
        <w:rPr>
          <w:sz w:val="16"/>
          <w:szCs w:val="16"/>
          <w:rtl w:val="0"/>
        </w:rPr>
        <w:t xml:space="preserve"> dispostos na ordem dos itens constantes na Tabela de pontuação, e não necessitando ser assinada digital ou fisicamente. Sugere-se, caso seja possível (opcional), além dessa ordenação, uma numeração tanto na Tabela quanto na comprovação, sinalizando sua equivalência (exemplo: item tal, corresponde à comprovação tal) de modo a facilitar a conferência pela comissão”.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133" w:left="1701" w:right="85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       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/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734060" cy="7861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060" cy="7861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3C">
    <w:pPr>
      <w:widowControl w:val="0"/>
      <w:ind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3D">
    <w:pPr>
      <w:ind w:firstLine="0"/>
      <w:jc w:val="center"/>
      <w:rPr>
        <w:sz w:val="16"/>
        <w:szCs w:val="16"/>
      </w:rPr>
    </w:pPr>
    <w:r w:rsidDel="00000000" w:rsidR="00000000" w:rsidRPr="00000000">
      <w:rPr>
        <w:rFonts w:ascii="Times" w:cs="Times" w:eastAsia="Times" w:hAnsi="Times"/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CHAPECÓ</w:t>
      <w:br w:type="textWrapping"/>
    </w:r>
    <w:r w:rsidDel="00000000" w:rsidR="00000000" w:rsidRPr="00000000">
      <w:rPr>
        <w:sz w:val="16"/>
        <w:szCs w:val="16"/>
        <w:rtl w:val="0"/>
      </w:rPr>
      <w:t xml:space="preserve">Rodovia SC 484, Km-02, Fronteira Sul, Chapecó-SC, CEP 89815-899, 49 2049-2600</w:t>
    </w:r>
  </w:p>
  <w:p w:rsidR="00000000" w:rsidDel="00000000" w:rsidP="00000000" w:rsidRDefault="00000000" w:rsidRPr="00000000" w14:paraId="0000003E">
    <w:pPr>
      <w:ind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sec.direcao.ch@uffs.edu.br,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hanging="1"/>
      <w:jc w:val="left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hanging="1"/>
      <w:jc w:val="center"/>
    </w:pPr>
    <w:rPr>
      <w:rFonts w:ascii="Liberation Sans" w:cs="Liberation Sans" w:eastAsia="Liberation Sans" w:hAnsi="Liberation Sans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2DeEaxHTDuzPrYOKgIOcv7inw==">CgMxLjA4AHIhMUl5OUY0aE5hOFZ3ZmR3NE1udXZRVTVMajVLQ2RmaE82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